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4DD97" w14:textId="77777777" w:rsidR="00F0437B" w:rsidRDefault="00F0437B" w:rsidP="00F0437B"/>
    <w:p w14:paraId="0E0D7839" w14:textId="44BC18D3" w:rsidR="000E4E89" w:rsidRDefault="00F0437B" w:rsidP="00F0437B">
      <w:r>
        <w:t xml:space="preserve">As </w:t>
      </w:r>
      <w:r w:rsidR="007F4DF2">
        <w:t xml:space="preserve">Customer </w:t>
      </w:r>
      <w:r w:rsidR="00D62A5D">
        <w:t>or</w:t>
      </w:r>
      <w:r w:rsidR="007F4DF2">
        <w:t xml:space="preserve"> prospect customer of </w:t>
      </w:r>
      <w:r>
        <w:t xml:space="preserve">HSBC </w:t>
      </w:r>
      <w:r w:rsidR="007F4DF2">
        <w:t>Private Bank (</w:t>
      </w:r>
      <w:r>
        <w:t>Luxembourg</w:t>
      </w:r>
      <w:r w:rsidR="007F4DF2">
        <w:t>) S.A.</w:t>
      </w:r>
      <w:r w:rsidR="00906083">
        <w:t xml:space="preserve"> (‘</w:t>
      </w:r>
      <w:r w:rsidR="00906083" w:rsidRPr="00C976EC">
        <w:rPr>
          <w:b/>
        </w:rPr>
        <w:t>HSBC</w:t>
      </w:r>
      <w:r w:rsidR="00906083">
        <w:t>’)</w:t>
      </w:r>
      <w:r>
        <w:t xml:space="preserve">, you </w:t>
      </w:r>
      <w:r w:rsidR="000E4E89">
        <w:t xml:space="preserve">may </w:t>
      </w:r>
      <w:r>
        <w:t xml:space="preserve">benefit </w:t>
      </w:r>
      <w:r w:rsidR="007F4DF2">
        <w:t xml:space="preserve">from </w:t>
      </w:r>
      <w:r w:rsidR="000E4E89">
        <w:t xml:space="preserve">the </w:t>
      </w:r>
      <w:r>
        <w:t>account</w:t>
      </w:r>
      <w:r w:rsidR="00AD291C">
        <w:t xml:space="preserve"> switching</w:t>
      </w:r>
      <w:r>
        <w:t xml:space="preserve"> </w:t>
      </w:r>
      <w:r w:rsidR="009826FF">
        <w:t xml:space="preserve">process </w:t>
      </w:r>
      <w:r>
        <w:t xml:space="preserve">as </w:t>
      </w:r>
      <w:r w:rsidR="007F4DF2">
        <w:t xml:space="preserve">regulated </w:t>
      </w:r>
      <w:r>
        <w:t>in the law of 17 June 2017</w:t>
      </w:r>
      <w:r w:rsidR="00024E38">
        <w:t>, which transposed the Payment Account Directive (Directive 2014/92/EU)</w:t>
      </w:r>
      <w:r>
        <w:t xml:space="preserve">. </w:t>
      </w:r>
      <w:r w:rsidR="009826FF">
        <w:t>The aim is to facilitate</w:t>
      </w:r>
      <w:r w:rsidR="00225C0E">
        <w:t xml:space="preserve"> a smooth</w:t>
      </w:r>
      <w:r w:rsidR="009826FF">
        <w:t xml:space="preserve"> </w:t>
      </w:r>
      <w:r w:rsidR="000E4E89">
        <w:t xml:space="preserve">and </w:t>
      </w:r>
      <w:r w:rsidR="000E4E89" w:rsidRPr="000E4E89">
        <w:rPr>
          <w:i/>
        </w:rPr>
        <w:t xml:space="preserve">timely </w:t>
      </w:r>
      <w:r w:rsidR="009826FF" w:rsidRPr="000E4E89">
        <w:rPr>
          <w:i/>
        </w:rPr>
        <w:t>transfer of recurrent payments</w:t>
      </w:r>
      <w:r w:rsidR="009826FF">
        <w:t xml:space="preserve"> linked to your existing bank account to your new bank.</w:t>
      </w:r>
      <w:r w:rsidR="000E4E89">
        <w:t xml:space="preserve"> To that end you can authorise your new bank to communicate with your existing bank in order to ensure </w:t>
      </w:r>
      <w:r w:rsidR="00AE1392">
        <w:t>that a. your</w:t>
      </w:r>
      <w:r w:rsidR="000E4E89">
        <w:t xml:space="preserve"> new bank account </w:t>
      </w:r>
      <w:r w:rsidR="00AE1392">
        <w:t>takes on</w:t>
      </w:r>
      <w:r w:rsidR="000E4E89">
        <w:t xml:space="preserve"> the same standing orders,</w:t>
      </w:r>
      <w:r w:rsidR="00AE1392">
        <w:t xml:space="preserve"> credit transfers and</w:t>
      </w:r>
      <w:r w:rsidR="000E4E89">
        <w:t xml:space="preserve"> direct debits </w:t>
      </w:r>
      <w:r w:rsidR="00AE1392">
        <w:t>as your existing account as per an agreed date and b. your existing bank ceases those standing orders, credit transfers and direct debits and closes your account as per a certain date.</w:t>
      </w:r>
      <w:r w:rsidR="00AE1392">
        <w:rPr>
          <w:rStyle w:val="EndnoteReference"/>
        </w:rPr>
        <w:endnoteReference w:id="1"/>
      </w:r>
    </w:p>
    <w:p w14:paraId="30BCAD51" w14:textId="5161073A" w:rsidR="00E7469E" w:rsidRDefault="00381519" w:rsidP="00A53C2D">
      <w:pPr>
        <w:rPr>
          <w:b/>
        </w:rPr>
      </w:pPr>
      <w:r>
        <w:t>Below you find a description of the switching process:</w:t>
      </w:r>
      <w:r w:rsidR="00F0437B">
        <w:t xml:space="preserve">  </w:t>
      </w:r>
      <w:r w:rsidR="009826FF">
        <w:br/>
      </w:r>
      <w:r w:rsidR="009826FF" w:rsidRPr="00AE1392">
        <w:rPr>
          <w:b/>
        </w:rPr>
        <w:br/>
      </w:r>
      <w:r w:rsidR="00AE1392">
        <w:rPr>
          <w:b/>
        </w:rPr>
        <w:t xml:space="preserve">1. </w:t>
      </w:r>
      <w:r w:rsidR="004878DD">
        <w:rPr>
          <w:b/>
        </w:rPr>
        <w:t>If you wish to become customer of HSBC</w:t>
      </w:r>
      <w:r w:rsidR="00E7469E" w:rsidRPr="00162267">
        <w:rPr>
          <w:b/>
        </w:rPr>
        <w:t xml:space="preserve">: </w:t>
      </w:r>
    </w:p>
    <w:p w14:paraId="5151B96B" w14:textId="7D6D62FF" w:rsidR="00E7469E" w:rsidRDefault="00AE1392" w:rsidP="00AE1392">
      <w:pPr>
        <w:ind w:left="360"/>
      </w:pPr>
      <w:r w:rsidRPr="00AE1392">
        <w:rPr>
          <w:b/>
        </w:rPr>
        <w:t>and</w:t>
      </w:r>
      <w:r w:rsidR="00E7469E" w:rsidRPr="00AE1392">
        <w:rPr>
          <w:b/>
        </w:rPr>
        <w:t xml:space="preserve"> you have an existing payment account</w:t>
      </w:r>
      <w:r w:rsidR="00D62A5D" w:rsidRPr="00AE1392">
        <w:rPr>
          <w:b/>
        </w:rPr>
        <w:t xml:space="preserve"> </w:t>
      </w:r>
      <w:r w:rsidR="00D62A5D" w:rsidRPr="00AE1392">
        <w:rPr>
          <w:b/>
          <w:i/>
        </w:rPr>
        <w:t>with a bank in</w:t>
      </w:r>
      <w:r w:rsidR="00024E38" w:rsidRPr="00AE1392">
        <w:rPr>
          <w:b/>
          <w:i/>
        </w:rPr>
        <w:t xml:space="preserve"> Luxembourg</w:t>
      </w:r>
      <w:r w:rsidR="00E7469E">
        <w:t>, you can send to HSB</w:t>
      </w:r>
      <w:r w:rsidR="006F2608">
        <w:t>C</w:t>
      </w:r>
      <w:r w:rsidR="00E7469E">
        <w:t xml:space="preserve"> an authorisation </w:t>
      </w:r>
      <w:r w:rsidR="008005FB">
        <w:t xml:space="preserve">letter </w:t>
      </w:r>
      <w:r w:rsidR="00D62A5D">
        <w:t>(</w:t>
      </w:r>
      <w:hyperlink r:id="rId8" w:history="1">
        <w:r w:rsidR="009C0CB0" w:rsidRPr="009C0CB0">
          <w:rPr>
            <w:rStyle w:val="Hyperlink"/>
          </w:rPr>
          <w:t>PAD Standard letter of authorisation</w:t>
        </w:r>
      </w:hyperlink>
      <w:r w:rsidR="00CE0692">
        <w:t xml:space="preserve">) </w:t>
      </w:r>
      <w:r w:rsidR="00E7469E">
        <w:t>which allows you</w:t>
      </w:r>
      <w:r w:rsidR="00D62A5D">
        <w:t xml:space="preserve"> to</w:t>
      </w:r>
      <w:r w:rsidR="00E7469E">
        <w:t xml:space="preserve">: </w:t>
      </w:r>
    </w:p>
    <w:p w14:paraId="4743122A" w14:textId="5DF050E4" w:rsidR="00E7469E" w:rsidRDefault="00E7469E" w:rsidP="00E7469E">
      <w:pPr>
        <w:pStyle w:val="ListParagraph"/>
        <w:numPr>
          <w:ilvl w:val="0"/>
          <w:numId w:val="2"/>
        </w:numPr>
      </w:pPr>
      <w:r>
        <w:t>identify incoming and exiting transfers and all specific orders on your current account</w:t>
      </w:r>
      <w:r w:rsidR="00D62A5D">
        <w:t xml:space="preserve"> that you wish to transfer to your new bank</w:t>
      </w:r>
      <w:r w:rsidR="00CE0692">
        <w:t>;</w:t>
      </w:r>
      <w:bookmarkStart w:id="0" w:name="_GoBack"/>
      <w:bookmarkEnd w:id="0"/>
    </w:p>
    <w:p w14:paraId="731CBC5B" w14:textId="675C260C" w:rsidR="00E7469E" w:rsidRDefault="00D62A5D" w:rsidP="00E7469E">
      <w:pPr>
        <w:pStyle w:val="ListParagraph"/>
        <w:numPr>
          <w:ilvl w:val="0"/>
          <w:numId w:val="2"/>
        </w:numPr>
      </w:pPr>
      <w:r>
        <w:t xml:space="preserve">formalise your </w:t>
      </w:r>
      <w:r w:rsidR="00E7469E">
        <w:t>agree</w:t>
      </w:r>
      <w:r>
        <w:t>ment to use</w:t>
      </w:r>
      <w:r w:rsidR="00E7469E">
        <w:t xml:space="preserve"> the switch account process</w:t>
      </w:r>
      <w:r w:rsidR="00CE0692">
        <w:t>;</w:t>
      </w:r>
    </w:p>
    <w:p w14:paraId="3072ECDD" w14:textId="7DFC8F05" w:rsidR="00E7469E" w:rsidRDefault="000E4E89" w:rsidP="00E7469E">
      <w:pPr>
        <w:pStyle w:val="ListParagraph"/>
        <w:numPr>
          <w:ilvl w:val="0"/>
          <w:numId w:val="2"/>
        </w:numPr>
      </w:pPr>
      <w:r>
        <w:t>inform your bank of</w:t>
      </w:r>
      <w:r w:rsidR="00E7469E">
        <w:t xml:space="preserve"> </w:t>
      </w:r>
      <w:r>
        <w:t xml:space="preserve">the </w:t>
      </w:r>
      <w:r w:rsidR="00B30DBF">
        <w:t xml:space="preserve">desired </w:t>
      </w:r>
      <w:r w:rsidR="00E7469E">
        <w:t>execution date</w:t>
      </w:r>
      <w:r>
        <w:rPr>
          <w:rStyle w:val="EndnoteReference"/>
        </w:rPr>
        <w:endnoteReference w:id="2"/>
      </w:r>
      <w:r w:rsidR="00CE0692">
        <w:t xml:space="preserve"> for the switch of</w:t>
      </w:r>
      <w:r>
        <w:t xml:space="preserve"> your account</w:t>
      </w:r>
      <w:r w:rsidR="00CE0692">
        <w:t>.</w:t>
      </w:r>
    </w:p>
    <w:p w14:paraId="43F5B33A" w14:textId="204120C8" w:rsidR="006113C5" w:rsidRDefault="006113C5" w:rsidP="006113C5">
      <w:r w:rsidRPr="006113C5">
        <w:rPr>
          <w:color w:val="FF0000"/>
        </w:rPr>
        <w:t>NB</w:t>
      </w:r>
      <w:r>
        <w:t xml:space="preserve">: For multiple account users HSBC needs an authorisation from </w:t>
      </w:r>
      <w:r w:rsidRPr="00C976EC">
        <w:rPr>
          <w:b/>
        </w:rPr>
        <w:t xml:space="preserve">each </w:t>
      </w:r>
      <w:r>
        <w:t xml:space="preserve">account </w:t>
      </w:r>
      <w:r w:rsidR="00225C0E">
        <w:t>holder</w:t>
      </w:r>
      <w:r>
        <w:t>.</w:t>
      </w:r>
    </w:p>
    <w:p w14:paraId="210B2BB6" w14:textId="32199F45" w:rsidR="004878DD" w:rsidRDefault="00D62A5D" w:rsidP="00E7469E">
      <w:r>
        <w:t>Within two business days after receipt of your</w:t>
      </w:r>
      <w:r w:rsidR="00E7469E">
        <w:t xml:space="preserve"> authorisation, HSBC will</w:t>
      </w:r>
      <w:r w:rsidR="00225C0E">
        <w:t xml:space="preserve"> then</w:t>
      </w:r>
      <w:r w:rsidR="00E7469E">
        <w:t xml:space="preserve"> </w:t>
      </w:r>
      <w:r>
        <w:t xml:space="preserve">notify </w:t>
      </w:r>
      <w:r w:rsidR="00E7469E">
        <w:t>your current bank</w:t>
      </w:r>
      <w:r>
        <w:t xml:space="preserve"> and </w:t>
      </w:r>
      <w:r w:rsidR="004878DD">
        <w:t>ask them to:</w:t>
      </w:r>
    </w:p>
    <w:p w14:paraId="6F4E52C0" w14:textId="5BECBD95" w:rsidR="004878DD" w:rsidRPr="00C976EC" w:rsidRDefault="004878DD" w:rsidP="00B30DBF">
      <w:pPr>
        <w:spacing w:after="0" w:line="240" w:lineRule="auto"/>
        <w:ind w:left="720"/>
        <w:rPr>
          <w:lang w:val="en-US"/>
        </w:rPr>
      </w:pPr>
      <w:r w:rsidRPr="004878DD">
        <w:t>a. provide a list of existing standing orders for credit transfers and information on direct debit mandates</w:t>
      </w:r>
      <w:r w:rsidR="00B30DBF">
        <w:t>;</w:t>
      </w:r>
    </w:p>
    <w:p w14:paraId="2AC97AD3" w14:textId="2431EC40" w:rsidR="004878DD" w:rsidRPr="00C976EC" w:rsidRDefault="004878DD" w:rsidP="00B30DBF">
      <w:pPr>
        <w:spacing w:after="0" w:line="240" w:lineRule="auto"/>
        <w:ind w:left="720"/>
        <w:rPr>
          <w:lang w:val="en-US"/>
        </w:rPr>
      </w:pPr>
      <w:r w:rsidRPr="004878DD">
        <w:t>b. transmit information about recurring incoming credit transfers and creditor driven direct debits</w:t>
      </w:r>
      <w:r w:rsidR="00B30DBF">
        <w:t>;</w:t>
      </w:r>
      <w:r w:rsidRPr="004878DD">
        <w:t xml:space="preserve"> </w:t>
      </w:r>
    </w:p>
    <w:p w14:paraId="0E79B9DC" w14:textId="1DD0E68B" w:rsidR="004878DD" w:rsidRPr="00C976EC" w:rsidRDefault="004878DD" w:rsidP="00B30DBF">
      <w:pPr>
        <w:spacing w:after="0" w:line="240" w:lineRule="auto"/>
        <w:rPr>
          <w:lang w:val="en-US"/>
        </w:rPr>
      </w:pPr>
      <w:r w:rsidRPr="004878DD">
        <w:tab/>
        <w:t>c. stop accepting direct debits and incoming credit transfers</w:t>
      </w:r>
      <w:r w:rsidR="00B30DBF">
        <w:t>;</w:t>
      </w:r>
      <w:r w:rsidRPr="004878DD">
        <w:t xml:space="preserve"> </w:t>
      </w:r>
    </w:p>
    <w:p w14:paraId="6EDBF227" w14:textId="2FF183F6" w:rsidR="004878DD" w:rsidRPr="00C976EC" w:rsidRDefault="004878DD" w:rsidP="00B30DBF">
      <w:pPr>
        <w:spacing w:after="0" w:line="240" w:lineRule="auto"/>
        <w:rPr>
          <w:lang w:val="en-US"/>
        </w:rPr>
      </w:pPr>
      <w:r w:rsidRPr="004878DD">
        <w:tab/>
        <w:t>d. cancel standing orders on the date mentioned in the authorisation</w:t>
      </w:r>
      <w:r w:rsidR="00B30DBF">
        <w:t>;</w:t>
      </w:r>
      <w:r w:rsidRPr="004878DD">
        <w:t xml:space="preserve"> </w:t>
      </w:r>
    </w:p>
    <w:p w14:paraId="06E5BC15" w14:textId="5F60521A" w:rsidR="004878DD" w:rsidRPr="00C976EC" w:rsidRDefault="004878DD" w:rsidP="00B30DBF">
      <w:pPr>
        <w:spacing w:after="0" w:line="240" w:lineRule="auto"/>
        <w:rPr>
          <w:lang w:val="en-US"/>
        </w:rPr>
      </w:pPr>
      <w:r w:rsidRPr="004878DD">
        <w:tab/>
        <w:t>e. transfer any remaining positive balances to the new payment account</w:t>
      </w:r>
      <w:r w:rsidR="00B30DBF">
        <w:t>;</w:t>
      </w:r>
      <w:r w:rsidRPr="004878DD">
        <w:t xml:space="preserve"> and </w:t>
      </w:r>
    </w:p>
    <w:p w14:paraId="366D131F" w14:textId="77777777" w:rsidR="004878DD" w:rsidRDefault="004878DD" w:rsidP="00B30DBF">
      <w:pPr>
        <w:spacing w:after="0" w:line="240" w:lineRule="auto"/>
      </w:pPr>
      <w:r w:rsidRPr="004878DD">
        <w:tab/>
        <w:t xml:space="preserve">f. close the existing payment account from the relevant date. </w:t>
      </w:r>
    </w:p>
    <w:p w14:paraId="07553514" w14:textId="77777777" w:rsidR="00B30DBF" w:rsidRPr="00C976EC" w:rsidRDefault="00B30DBF" w:rsidP="00B30DBF">
      <w:pPr>
        <w:spacing w:after="0" w:line="240" w:lineRule="auto"/>
        <w:rPr>
          <w:lang w:val="en-US"/>
        </w:rPr>
      </w:pPr>
    </w:p>
    <w:p w14:paraId="43E982D9" w14:textId="442329A1" w:rsidR="00E7469E" w:rsidRDefault="00E7469E" w:rsidP="00E7469E">
      <w:r>
        <w:t>As soon HSBC receives the required information</w:t>
      </w:r>
      <w:r w:rsidR="00D62A5D">
        <w:t xml:space="preserve"> from your current</w:t>
      </w:r>
      <w:r>
        <w:t>, HSBC will within 5 business days carry out the following:</w:t>
      </w:r>
    </w:p>
    <w:p w14:paraId="704DA34F" w14:textId="731F2994" w:rsidR="00E7469E" w:rsidRDefault="00E7469E" w:rsidP="00E7469E">
      <w:pPr>
        <w:pStyle w:val="ListParagraph"/>
        <w:numPr>
          <w:ilvl w:val="0"/>
          <w:numId w:val="1"/>
        </w:numPr>
      </w:pPr>
      <w:r>
        <w:t>Set up the standing orders for credit transfers you requested and execute them from the date mentioned in the authorisation</w:t>
      </w:r>
      <w:r w:rsidR="00D62A5D">
        <w:t>;</w:t>
      </w:r>
    </w:p>
    <w:p w14:paraId="6D7EFDCA" w14:textId="2AA7CA2D" w:rsidR="00E7469E" w:rsidRDefault="00E7469E" w:rsidP="00E7469E">
      <w:pPr>
        <w:pStyle w:val="ListParagraph"/>
        <w:numPr>
          <w:ilvl w:val="0"/>
          <w:numId w:val="1"/>
        </w:numPr>
      </w:pPr>
      <w:r>
        <w:t>Make necessary preparations to accept direct debits with effect from the</w:t>
      </w:r>
      <w:r w:rsidR="00742065">
        <w:t xml:space="preserve"> </w:t>
      </w:r>
      <w:r>
        <w:t>date</w:t>
      </w:r>
      <w:r w:rsidR="00742065">
        <w:t xml:space="preserve"> specified in the authorisation letter</w:t>
      </w:r>
      <w:r w:rsidR="00D62A5D">
        <w:t>;</w:t>
      </w:r>
    </w:p>
    <w:p w14:paraId="3BDB2465" w14:textId="21A15BCD" w:rsidR="00E7469E" w:rsidRDefault="00E7469E" w:rsidP="00E7469E">
      <w:pPr>
        <w:pStyle w:val="ListParagraph"/>
        <w:numPr>
          <w:ilvl w:val="0"/>
          <w:numId w:val="1"/>
        </w:numPr>
      </w:pPr>
      <w:r>
        <w:t>Inform you of your new rights</w:t>
      </w:r>
      <w:r w:rsidR="00D62A5D">
        <w:t>;</w:t>
      </w:r>
    </w:p>
    <w:p w14:paraId="1E7D6E63" w14:textId="7192FF02" w:rsidR="003B5434" w:rsidRPr="00C976EC" w:rsidRDefault="00A464F5" w:rsidP="004878DD">
      <w:pPr>
        <w:pStyle w:val="ListParagraph"/>
        <w:numPr>
          <w:ilvl w:val="0"/>
          <w:numId w:val="1"/>
        </w:numPr>
        <w:rPr>
          <w:lang w:val="en-US"/>
        </w:rPr>
      </w:pPr>
      <w:r w:rsidRPr="004878DD">
        <w:rPr>
          <w:lang w:val="en-US"/>
        </w:rPr>
        <w:t xml:space="preserve">inform payers specified in the authorisation and making recurring incoming credit transfers into a </w:t>
      </w:r>
      <w:r w:rsidR="00225C0E">
        <w:rPr>
          <w:lang w:val="en-US"/>
        </w:rPr>
        <w:t>your</w:t>
      </w:r>
      <w:r w:rsidRPr="004878DD">
        <w:rPr>
          <w:lang w:val="en-US"/>
        </w:rPr>
        <w:t xml:space="preserve"> account of the details of </w:t>
      </w:r>
      <w:r w:rsidR="00225C0E">
        <w:rPr>
          <w:lang w:val="en-US"/>
        </w:rPr>
        <w:t>your</w:t>
      </w:r>
      <w:r w:rsidRPr="004878DD">
        <w:rPr>
          <w:lang w:val="en-US"/>
        </w:rPr>
        <w:t xml:space="preserve"> payment account </w:t>
      </w:r>
      <w:r w:rsidR="00436CC4">
        <w:rPr>
          <w:lang w:val="en-US"/>
        </w:rPr>
        <w:t>(</w:t>
      </w:r>
      <w:r w:rsidRPr="004878DD">
        <w:rPr>
          <w:lang w:val="en-US"/>
        </w:rPr>
        <w:t xml:space="preserve">and transmit to the payers a copy of </w:t>
      </w:r>
      <w:r w:rsidR="00225C0E">
        <w:rPr>
          <w:lang w:val="en-US"/>
        </w:rPr>
        <w:t xml:space="preserve">your </w:t>
      </w:r>
      <w:r w:rsidR="00436CC4">
        <w:rPr>
          <w:lang w:val="en-US"/>
        </w:rPr>
        <w:t>authorization);</w:t>
      </w:r>
    </w:p>
    <w:p w14:paraId="4D008D14" w14:textId="726CE5FA" w:rsidR="003B5434" w:rsidRPr="00C976EC" w:rsidRDefault="00A464F5" w:rsidP="004878DD">
      <w:pPr>
        <w:pStyle w:val="ListParagraph"/>
        <w:numPr>
          <w:ilvl w:val="0"/>
          <w:numId w:val="1"/>
        </w:numPr>
        <w:rPr>
          <w:lang w:val="en-US"/>
        </w:rPr>
      </w:pPr>
      <w:r w:rsidRPr="004878DD">
        <w:rPr>
          <w:lang w:val="en-US"/>
        </w:rPr>
        <w:lastRenderedPageBreak/>
        <w:t xml:space="preserve">inform payees specified in the authorisation and using a direct debit to collect funds from </w:t>
      </w:r>
      <w:r w:rsidR="00225C0E">
        <w:rPr>
          <w:lang w:val="en-US"/>
        </w:rPr>
        <w:t>your</w:t>
      </w:r>
      <w:r w:rsidRPr="004878DD">
        <w:rPr>
          <w:lang w:val="en-US"/>
        </w:rPr>
        <w:t xml:space="preserve"> payment account of the details of the </w:t>
      </w:r>
      <w:r w:rsidR="00225C0E">
        <w:rPr>
          <w:lang w:val="en-US"/>
        </w:rPr>
        <w:t xml:space="preserve">your new </w:t>
      </w:r>
      <w:r w:rsidRPr="004878DD">
        <w:rPr>
          <w:lang w:val="en-US"/>
        </w:rPr>
        <w:t>payment account and the date from which direct debits are to be collected from that payment account</w:t>
      </w:r>
      <w:r w:rsidR="00436CC4">
        <w:rPr>
          <w:lang w:val="en-US"/>
        </w:rPr>
        <w:t>. They will also receive a</w:t>
      </w:r>
      <w:r w:rsidR="00225C0E">
        <w:rPr>
          <w:lang w:val="en-US"/>
        </w:rPr>
        <w:t xml:space="preserve"> copy of your </w:t>
      </w:r>
      <w:r w:rsidRPr="004878DD">
        <w:rPr>
          <w:lang w:val="en-US"/>
        </w:rPr>
        <w:t xml:space="preserve">authorisation. </w:t>
      </w:r>
    </w:p>
    <w:p w14:paraId="40D57D63" w14:textId="5D74BEB9" w:rsidR="003035CA" w:rsidRDefault="004878DD" w:rsidP="003035CA">
      <w:r>
        <w:t xml:space="preserve">In case </w:t>
      </w:r>
      <w:r w:rsidR="003035CA">
        <w:t xml:space="preserve">HSBC </w:t>
      </w:r>
      <w:r w:rsidR="00906083">
        <w:t>lacks relevant</w:t>
      </w:r>
      <w:r w:rsidR="003035CA">
        <w:t xml:space="preserve"> information about </w:t>
      </w:r>
      <w:r w:rsidR="00906083">
        <w:t>your</w:t>
      </w:r>
      <w:r w:rsidR="003035CA">
        <w:t xml:space="preserve"> orders or exiting transfers to </w:t>
      </w:r>
      <w:r>
        <w:t>fulfil</w:t>
      </w:r>
      <w:r w:rsidR="003035CA">
        <w:t xml:space="preserve"> with its engagement you could be ask</w:t>
      </w:r>
      <w:r w:rsidR="00906083">
        <w:t>ed</w:t>
      </w:r>
      <w:r w:rsidR="003035CA">
        <w:t xml:space="preserve"> to provide the information</w:t>
      </w:r>
      <w:r>
        <w:t xml:space="preserve"> required to set up the account</w:t>
      </w:r>
      <w:r w:rsidR="003035CA">
        <w:t>.</w:t>
      </w:r>
    </w:p>
    <w:p w14:paraId="523AD942" w14:textId="1250ED31" w:rsidR="00AE1392" w:rsidRDefault="00AE1392" w:rsidP="003035CA">
      <w:r w:rsidRPr="00AE1392">
        <w:rPr>
          <w:b/>
        </w:rPr>
        <w:t>If your existing account is held outside Luxembourg</w:t>
      </w:r>
      <w:r>
        <w:rPr>
          <w:b/>
        </w:rPr>
        <w:t xml:space="preserve"> but within the EU</w:t>
      </w:r>
      <w:r>
        <w:t>, the switching process applies only partly. In this case, you can ask your existing bank to provide you with</w:t>
      </w:r>
      <w:r>
        <w:rPr>
          <w:lang w:val="en-US"/>
        </w:rPr>
        <w:t xml:space="preserve"> </w:t>
      </w:r>
      <w:r w:rsidRPr="00C976EC">
        <w:rPr>
          <w:lang w:val="en-US"/>
        </w:rPr>
        <w:t xml:space="preserve">a list of all the currently active standing orders for credit transfers and debtor-driven direct debit mandates </w:t>
      </w:r>
      <w:r>
        <w:rPr>
          <w:lang w:val="en-US"/>
        </w:rPr>
        <w:t>and provide us with the list so we can set up your account in the same way as your existing account.</w:t>
      </w:r>
      <w:r w:rsidR="008A3B31">
        <w:rPr>
          <w:lang w:val="en-US"/>
        </w:rPr>
        <w:t xml:space="preserve"> In addition you can ask your existing bank to transfer any positive remaining balance on your account to your new account at HSBC.</w:t>
      </w:r>
    </w:p>
    <w:p w14:paraId="593822D8" w14:textId="19BD1CF7" w:rsidR="00F0437B" w:rsidRPr="00AE1392" w:rsidRDefault="00E7469E" w:rsidP="00AE1392">
      <w:pPr>
        <w:pStyle w:val="ListParagraph"/>
        <w:numPr>
          <w:ilvl w:val="0"/>
          <w:numId w:val="10"/>
        </w:numPr>
        <w:rPr>
          <w:b/>
        </w:rPr>
      </w:pPr>
      <w:r w:rsidRPr="00AE1392">
        <w:rPr>
          <w:b/>
        </w:rPr>
        <w:t>I</w:t>
      </w:r>
      <w:r w:rsidR="004878DD" w:rsidRPr="00AE1392">
        <w:rPr>
          <w:b/>
        </w:rPr>
        <w:t>f you wish t</w:t>
      </w:r>
      <w:r w:rsidR="00993F18">
        <w:rPr>
          <w:b/>
        </w:rPr>
        <w:t>o</w:t>
      </w:r>
      <w:r w:rsidR="004878DD" w:rsidRPr="00AE1392">
        <w:rPr>
          <w:b/>
        </w:rPr>
        <w:t xml:space="preserve"> terminate your account with HSBC</w:t>
      </w:r>
      <w:r w:rsidR="00F0437B" w:rsidRPr="00AE1392">
        <w:rPr>
          <w:b/>
        </w:rPr>
        <w:t xml:space="preserve"> </w:t>
      </w:r>
    </w:p>
    <w:p w14:paraId="5EAD2ED7" w14:textId="77777777" w:rsidR="000F5EDC" w:rsidRDefault="000F5EDC" w:rsidP="00C976EC">
      <w:pPr>
        <w:pStyle w:val="ListParagraph"/>
        <w:rPr>
          <w:b/>
        </w:rPr>
      </w:pPr>
    </w:p>
    <w:p w14:paraId="5F721054" w14:textId="35E96166" w:rsidR="0015644C" w:rsidRDefault="0015644C" w:rsidP="00C976EC">
      <w:pPr>
        <w:pStyle w:val="ListParagraph"/>
        <w:numPr>
          <w:ilvl w:val="1"/>
          <w:numId w:val="5"/>
        </w:numPr>
        <w:rPr>
          <w:b/>
        </w:rPr>
      </w:pPr>
      <w:r>
        <w:rPr>
          <w:b/>
        </w:rPr>
        <w:t>In case your new account is within Luxembourg:</w:t>
      </w:r>
    </w:p>
    <w:p w14:paraId="6326AD32" w14:textId="1224D9F9" w:rsidR="0015644C" w:rsidRDefault="0015644C" w:rsidP="0015644C">
      <w:r>
        <w:t xml:space="preserve">In the case that you leave HSBC, you can send instructions or an authorisation letter to the bank you have chosen to become your new bank. As soon HSBC receives the notification from your new bank, HSBC will within 7 business days carry out the following: </w:t>
      </w:r>
    </w:p>
    <w:p w14:paraId="5DCF4562" w14:textId="77777777" w:rsidR="0015644C" w:rsidRDefault="0015644C" w:rsidP="0015644C">
      <w:pPr>
        <w:pStyle w:val="ListParagraph"/>
        <w:numPr>
          <w:ilvl w:val="0"/>
          <w:numId w:val="3"/>
        </w:numPr>
      </w:pPr>
      <w:r>
        <w:t>Provide a list to your new bank of all existing standing orders for credit transfers and information on direct debit mandates;</w:t>
      </w:r>
    </w:p>
    <w:p w14:paraId="73A5A1DB" w14:textId="77777777" w:rsidR="0015644C" w:rsidRDefault="0015644C" w:rsidP="0015644C">
      <w:pPr>
        <w:pStyle w:val="ListParagraph"/>
        <w:numPr>
          <w:ilvl w:val="0"/>
          <w:numId w:val="3"/>
        </w:numPr>
      </w:pPr>
      <w:r>
        <w:t>Transmit information about recurring incoming credit transfers and creditor driven direct debits;</w:t>
      </w:r>
    </w:p>
    <w:p w14:paraId="343F45EC" w14:textId="77777777" w:rsidR="0015644C" w:rsidRDefault="0015644C" w:rsidP="0015644C">
      <w:pPr>
        <w:pStyle w:val="ListParagraph"/>
        <w:numPr>
          <w:ilvl w:val="0"/>
          <w:numId w:val="3"/>
        </w:numPr>
      </w:pPr>
      <w:r>
        <w:t>Stop accepting direct debits and incoming credit transfers;</w:t>
      </w:r>
    </w:p>
    <w:p w14:paraId="7A6A2FD8" w14:textId="77777777" w:rsidR="0015644C" w:rsidRDefault="0015644C" w:rsidP="0015644C">
      <w:pPr>
        <w:pStyle w:val="ListParagraph"/>
        <w:numPr>
          <w:ilvl w:val="0"/>
          <w:numId w:val="3"/>
        </w:numPr>
      </w:pPr>
      <w:r>
        <w:t xml:space="preserve">Cancel standing orders on the date mentioned in the authorisation; </w:t>
      </w:r>
    </w:p>
    <w:p w14:paraId="56BA6BC0" w14:textId="77777777" w:rsidR="0015644C" w:rsidRDefault="0015644C" w:rsidP="0015644C">
      <w:pPr>
        <w:pStyle w:val="ListParagraph"/>
        <w:numPr>
          <w:ilvl w:val="0"/>
          <w:numId w:val="3"/>
        </w:numPr>
      </w:pPr>
      <w:r>
        <w:t xml:space="preserve">Transfer any remaining positive balances to the new payment account; and </w:t>
      </w:r>
    </w:p>
    <w:p w14:paraId="48C48F5F" w14:textId="77777777" w:rsidR="0015644C" w:rsidRDefault="0015644C" w:rsidP="0015644C">
      <w:pPr>
        <w:pStyle w:val="ListParagraph"/>
        <w:numPr>
          <w:ilvl w:val="0"/>
          <w:numId w:val="3"/>
        </w:numPr>
      </w:pPr>
      <w:r>
        <w:t>Close the existing payment account from the relevant date.</w:t>
      </w:r>
    </w:p>
    <w:p w14:paraId="04CCCF3A" w14:textId="77777777" w:rsidR="00447893" w:rsidRDefault="00447893" w:rsidP="00447893">
      <w:pPr>
        <w:pStyle w:val="ListParagraph"/>
      </w:pPr>
    </w:p>
    <w:p w14:paraId="07CD4D39" w14:textId="6A183A07" w:rsidR="0015644C" w:rsidRPr="00C976EC" w:rsidRDefault="0015644C" w:rsidP="00C976EC">
      <w:pPr>
        <w:pStyle w:val="ListParagraph"/>
        <w:numPr>
          <w:ilvl w:val="1"/>
          <w:numId w:val="5"/>
        </w:numPr>
        <w:rPr>
          <w:b/>
        </w:rPr>
      </w:pPr>
      <w:r>
        <w:rPr>
          <w:b/>
        </w:rPr>
        <w:t>In case your new account is outside Luxembourg:</w:t>
      </w:r>
    </w:p>
    <w:p w14:paraId="294BEA62" w14:textId="3B5F00CB" w:rsidR="009826FF" w:rsidRPr="0015644C" w:rsidRDefault="009826FF" w:rsidP="00740797">
      <w:pPr>
        <w:rPr>
          <w:lang w:val="en-US"/>
        </w:rPr>
      </w:pPr>
      <w:r>
        <w:t>I</w:t>
      </w:r>
      <w:r w:rsidR="0015644C">
        <w:t>f your</w:t>
      </w:r>
      <w:r>
        <w:t xml:space="preserve"> future bank account is outside of Luxembourg, the switching process applies only partly. </w:t>
      </w:r>
      <w:r w:rsidR="0015644C">
        <w:t>In this case, upon your request and to help you set up your new account, we can provide you with</w:t>
      </w:r>
      <w:r w:rsidR="0015644C">
        <w:rPr>
          <w:lang w:val="en-US"/>
        </w:rPr>
        <w:t xml:space="preserve"> </w:t>
      </w:r>
      <w:r w:rsidR="00A464F5" w:rsidRPr="00C976EC">
        <w:rPr>
          <w:lang w:val="en-US"/>
        </w:rPr>
        <w:t>a list of all the currently active standing orders for credit transfers and debtor-driven direct debit mandates (free of charge), where available, and with available information about recurring incoming credit transfers and creditor-driven direct debits executed on the consumer’s payment account in the previous 13 months.</w:t>
      </w:r>
    </w:p>
    <w:p w14:paraId="28540A49" w14:textId="2F10C9C5" w:rsidR="0015644C" w:rsidRDefault="0015644C" w:rsidP="00740797">
      <w:pPr>
        <w:rPr>
          <w:lang w:val="en-US"/>
        </w:rPr>
      </w:pPr>
      <w:r>
        <w:rPr>
          <w:lang w:val="en-US"/>
        </w:rPr>
        <w:t>Once you have provided the details of your new payment account, we will transfer any positive balance remaining on your account to your new account and close your account with us after the transfer has been comp</w:t>
      </w:r>
      <w:r w:rsidR="0093592B">
        <w:rPr>
          <w:lang w:val="en-US"/>
        </w:rPr>
        <w:t>l</w:t>
      </w:r>
      <w:r>
        <w:rPr>
          <w:lang w:val="en-US"/>
        </w:rPr>
        <w:t>eted.</w:t>
      </w:r>
    </w:p>
    <w:p w14:paraId="32195E0A" w14:textId="77777777" w:rsidR="005F0F86" w:rsidRDefault="005F0F86" w:rsidP="00740797">
      <w:pPr>
        <w:rPr>
          <w:b/>
          <w:lang w:val="en-US"/>
        </w:rPr>
      </w:pPr>
    </w:p>
    <w:p w14:paraId="12396673" w14:textId="77777777" w:rsidR="005F0F86" w:rsidRDefault="005F0F86" w:rsidP="00740797">
      <w:pPr>
        <w:rPr>
          <w:b/>
          <w:lang w:val="en-US"/>
        </w:rPr>
      </w:pPr>
    </w:p>
    <w:p w14:paraId="34EADD86" w14:textId="0C298776" w:rsidR="000F5EDC" w:rsidRPr="00447893" w:rsidRDefault="00447893" w:rsidP="00740797">
      <w:pPr>
        <w:rPr>
          <w:b/>
          <w:lang w:val="en-US"/>
        </w:rPr>
      </w:pPr>
      <w:r w:rsidRPr="00447893">
        <w:rPr>
          <w:b/>
          <w:lang w:val="en-US"/>
        </w:rPr>
        <w:lastRenderedPageBreak/>
        <w:t>Fees</w:t>
      </w:r>
    </w:p>
    <w:p w14:paraId="303E7AAE" w14:textId="6EFD39CB" w:rsidR="00447893" w:rsidRDefault="00447893" w:rsidP="00447893">
      <w:r>
        <w:t>The switching process</w:t>
      </w:r>
      <w:r w:rsidR="00993F18">
        <w:t xml:space="preserve"> – meaning the service as described above under paragraph 1 and 2 - </w:t>
      </w:r>
      <w:r>
        <w:t xml:space="preserve">is provided free of charge. However, </w:t>
      </w:r>
      <w:r w:rsidR="00993F18">
        <w:t xml:space="preserve">note that other </w:t>
      </w:r>
      <w:r>
        <w:t>fees may be charged in relation to the</w:t>
      </w:r>
      <w:r w:rsidR="00993F18">
        <w:t xml:space="preserve"> opening or</w:t>
      </w:r>
      <w:r>
        <w:t xml:space="preserve"> closing of your account and i.e. transfer of your </w:t>
      </w:r>
      <w:r w:rsidR="00993F18">
        <w:t>assets, custody or other fees. P</w:t>
      </w:r>
      <w:r>
        <w:t>lease refer to the fee schedule or ask your Relationship Manager.</w:t>
      </w:r>
    </w:p>
    <w:p w14:paraId="11EE6BF0" w14:textId="7B8E69D3" w:rsidR="009A3156" w:rsidRPr="009A3156" w:rsidRDefault="000843D9" w:rsidP="00740797">
      <w:pPr>
        <w:rPr>
          <w:b/>
        </w:rPr>
      </w:pPr>
      <w:r>
        <w:rPr>
          <w:b/>
        </w:rPr>
        <w:t>Complaints</w:t>
      </w:r>
    </w:p>
    <w:p w14:paraId="600AA1BE" w14:textId="6873B87A" w:rsidR="000843D9" w:rsidRDefault="000843D9" w:rsidP="00740797">
      <w:r>
        <w:t xml:space="preserve">You can address a complaint </w:t>
      </w:r>
      <w:r w:rsidRPr="000A0EF4">
        <w:t xml:space="preserve">towards </w:t>
      </w:r>
      <w:r w:rsidR="000A0EF4">
        <w:t>HSBC to</w:t>
      </w:r>
      <w:r w:rsidRPr="000A0EF4">
        <w:t xml:space="preserve"> (email address</w:t>
      </w:r>
      <w:r w:rsidR="000A0EF4">
        <w:t>)</w:t>
      </w:r>
      <w:r>
        <w:t xml:space="preserve">. </w:t>
      </w:r>
    </w:p>
    <w:p w14:paraId="02AF840C" w14:textId="18AAC908" w:rsidR="00CC6B50" w:rsidRDefault="003035CA" w:rsidP="00740797">
      <w:r>
        <w:t>In case of litigation the CSSF is the competent a</w:t>
      </w:r>
      <w:r w:rsidR="009A3156">
        <w:t xml:space="preserve">uthority to </w:t>
      </w:r>
      <w:r w:rsidR="0060530D">
        <w:t xml:space="preserve">assess </w:t>
      </w:r>
      <w:r w:rsidR="009A3156">
        <w:t xml:space="preserve">related issues </w:t>
      </w:r>
      <w:r w:rsidR="00253A32">
        <w:t xml:space="preserve">in relation to the </w:t>
      </w:r>
      <w:r w:rsidR="009A3156">
        <w:t>switch</w:t>
      </w:r>
      <w:r w:rsidR="00253A32">
        <w:t>ing</w:t>
      </w:r>
      <w:r w:rsidR="009A3156">
        <w:t xml:space="preserve"> of account process. </w:t>
      </w:r>
    </w:p>
    <w:p w14:paraId="0D3A9234" w14:textId="0D57752F" w:rsidR="00B30DBF" w:rsidRPr="00B30DBF" w:rsidRDefault="00B30DBF" w:rsidP="00740797">
      <w:pPr>
        <w:rPr>
          <w:b/>
        </w:rPr>
      </w:pPr>
      <w:r w:rsidRPr="00B30DBF">
        <w:rPr>
          <w:b/>
        </w:rPr>
        <w:t>Questions</w:t>
      </w:r>
    </w:p>
    <w:p w14:paraId="1B0797CE" w14:textId="66D07197" w:rsidR="00B30DBF" w:rsidRPr="00F0437B" w:rsidRDefault="00B30DBF" w:rsidP="00740797">
      <w:r>
        <w:t>Please co</w:t>
      </w:r>
      <w:r w:rsidR="000A0EF4">
        <w:t>ntact your Relationship Manager.</w:t>
      </w:r>
    </w:p>
    <w:sectPr w:rsidR="00B30DBF" w:rsidRPr="00F043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FEBC2" w14:textId="77777777" w:rsidR="00543185" w:rsidRDefault="00543185" w:rsidP="00543185">
      <w:pPr>
        <w:spacing w:after="0" w:line="240" w:lineRule="auto"/>
      </w:pPr>
      <w:r>
        <w:separator/>
      </w:r>
    </w:p>
  </w:endnote>
  <w:endnote w:type="continuationSeparator" w:id="0">
    <w:p w14:paraId="323C5B87" w14:textId="77777777" w:rsidR="00543185" w:rsidRDefault="00543185" w:rsidP="00543185">
      <w:pPr>
        <w:spacing w:after="0" w:line="240" w:lineRule="auto"/>
      </w:pPr>
      <w:r>
        <w:continuationSeparator/>
      </w:r>
    </w:p>
  </w:endnote>
  <w:endnote w:id="1">
    <w:p w14:paraId="7F113535" w14:textId="017E222E" w:rsidR="00AE1392" w:rsidRPr="00AE1392" w:rsidRDefault="00AE1392">
      <w:pPr>
        <w:pStyle w:val="EndnoteText"/>
      </w:pPr>
      <w:r>
        <w:rPr>
          <w:rStyle w:val="EndnoteReference"/>
        </w:rPr>
        <w:endnoteRef/>
      </w:r>
      <w:r>
        <w:t xml:space="preserve"> Please be informed that the account switching service is offered after the relevant account opening documents have been duly filled out and signed and the required KYC / CDD Procedures have been followed.</w:t>
      </w:r>
    </w:p>
  </w:endnote>
  <w:endnote w:id="2">
    <w:p w14:paraId="0B380621" w14:textId="50D16051" w:rsidR="000E4E89" w:rsidRPr="000E4E89" w:rsidRDefault="000E4E89">
      <w:pPr>
        <w:pStyle w:val="EndnoteText"/>
        <w:rPr>
          <w:lang w:val="en-US"/>
        </w:rPr>
      </w:pPr>
      <w:r>
        <w:rPr>
          <w:rStyle w:val="EndnoteReference"/>
        </w:rPr>
        <w:endnoteRef/>
      </w:r>
      <w:r>
        <w:t xml:space="preserve"> </w:t>
      </w:r>
      <w:r w:rsidRPr="000E4E89">
        <w:rPr>
          <w:lang w:val="en-US"/>
        </w:rPr>
        <w:t xml:space="preserve">This date shall be at least six business days after the date on which </w:t>
      </w:r>
      <w:r>
        <w:rPr>
          <w:lang w:val="en-US"/>
        </w:rPr>
        <w:t>your new bank receives the required information from your existing bank.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B170" w14:textId="1ECBFF87" w:rsidR="00543185" w:rsidRDefault="005F0F86">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BF5A1" w14:textId="7281F61C" w:rsidR="00543185" w:rsidRDefault="005F0F86">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DF23A" w14:textId="633A9B83" w:rsidR="00543185" w:rsidRDefault="005F0F86">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A1EB" w14:textId="77777777" w:rsidR="00543185" w:rsidRDefault="00543185" w:rsidP="00543185">
      <w:pPr>
        <w:spacing w:after="0" w:line="240" w:lineRule="auto"/>
      </w:pPr>
      <w:r>
        <w:separator/>
      </w:r>
    </w:p>
  </w:footnote>
  <w:footnote w:type="continuationSeparator" w:id="0">
    <w:p w14:paraId="3065D52A" w14:textId="77777777" w:rsidR="00543185" w:rsidRDefault="00543185" w:rsidP="00543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11A9" w14:textId="77777777" w:rsidR="001E53FE" w:rsidRDefault="001E5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912D" w14:textId="77777777" w:rsidR="001E53FE" w:rsidRDefault="001E5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7480" w14:textId="77777777" w:rsidR="001E53FE" w:rsidRDefault="001E5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B00"/>
    <w:multiLevelType w:val="hybridMultilevel"/>
    <w:tmpl w:val="19007BE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36C0006"/>
    <w:multiLevelType w:val="hybridMultilevel"/>
    <w:tmpl w:val="36A49E3E"/>
    <w:lvl w:ilvl="0" w:tplc="7F68259C">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B276797"/>
    <w:multiLevelType w:val="hybridMultilevel"/>
    <w:tmpl w:val="BA3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5126"/>
    <w:multiLevelType w:val="hybridMultilevel"/>
    <w:tmpl w:val="B582B27E"/>
    <w:lvl w:ilvl="0" w:tplc="0BAADD24">
      <w:start w:val="1"/>
      <w:numFmt w:val="bullet"/>
      <w:lvlText w:val="•"/>
      <w:lvlJc w:val="left"/>
      <w:pPr>
        <w:tabs>
          <w:tab w:val="num" w:pos="720"/>
        </w:tabs>
        <w:ind w:left="720" w:hanging="360"/>
      </w:pPr>
      <w:rPr>
        <w:rFonts w:ascii="Arial" w:hAnsi="Arial" w:hint="default"/>
      </w:rPr>
    </w:lvl>
    <w:lvl w:ilvl="1" w:tplc="5130F07C" w:tentative="1">
      <w:start w:val="1"/>
      <w:numFmt w:val="bullet"/>
      <w:lvlText w:val="•"/>
      <w:lvlJc w:val="left"/>
      <w:pPr>
        <w:tabs>
          <w:tab w:val="num" w:pos="1440"/>
        </w:tabs>
        <w:ind w:left="1440" w:hanging="360"/>
      </w:pPr>
      <w:rPr>
        <w:rFonts w:ascii="Arial" w:hAnsi="Arial" w:hint="default"/>
      </w:rPr>
    </w:lvl>
    <w:lvl w:ilvl="2" w:tplc="85022A3C" w:tentative="1">
      <w:start w:val="1"/>
      <w:numFmt w:val="bullet"/>
      <w:lvlText w:val="•"/>
      <w:lvlJc w:val="left"/>
      <w:pPr>
        <w:tabs>
          <w:tab w:val="num" w:pos="2160"/>
        </w:tabs>
        <w:ind w:left="2160" w:hanging="360"/>
      </w:pPr>
      <w:rPr>
        <w:rFonts w:ascii="Arial" w:hAnsi="Arial" w:hint="default"/>
      </w:rPr>
    </w:lvl>
    <w:lvl w:ilvl="3" w:tplc="B980131C" w:tentative="1">
      <w:start w:val="1"/>
      <w:numFmt w:val="bullet"/>
      <w:lvlText w:val="•"/>
      <w:lvlJc w:val="left"/>
      <w:pPr>
        <w:tabs>
          <w:tab w:val="num" w:pos="2880"/>
        </w:tabs>
        <w:ind w:left="2880" w:hanging="360"/>
      </w:pPr>
      <w:rPr>
        <w:rFonts w:ascii="Arial" w:hAnsi="Arial" w:hint="default"/>
      </w:rPr>
    </w:lvl>
    <w:lvl w:ilvl="4" w:tplc="7318EE2E" w:tentative="1">
      <w:start w:val="1"/>
      <w:numFmt w:val="bullet"/>
      <w:lvlText w:val="•"/>
      <w:lvlJc w:val="left"/>
      <w:pPr>
        <w:tabs>
          <w:tab w:val="num" w:pos="3600"/>
        </w:tabs>
        <w:ind w:left="3600" w:hanging="360"/>
      </w:pPr>
      <w:rPr>
        <w:rFonts w:ascii="Arial" w:hAnsi="Arial" w:hint="default"/>
      </w:rPr>
    </w:lvl>
    <w:lvl w:ilvl="5" w:tplc="F56CF3AE" w:tentative="1">
      <w:start w:val="1"/>
      <w:numFmt w:val="bullet"/>
      <w:lvlText w:val="•"/>
      <w:lvlJc w:val="left"/>
      <w:pPr>
        <w:tabs>
          <w:tab w:val="num" w:pos="4320"/>
        </w:tabs>
        <w:ind w:left="4320" w:hanging="360"/>
      </w:pPr>
      <w:rPr>
        <w:rFonts w:ascii="Arial" w:hAnsi="Arial" w:hint="default"/>
      </w:rPr>
    </w:lvl>
    <w:lvl w:ilvl="6" w:tplc="EBAE3646" w:tentative="1">
      <w:start w:val="1"/>
      <w:numFmt w:val="bullet"/>
      <w:lvlText w:val="•"/>
      <w:lvlJc w:val="left"/>
      <w:pPr>
        <w:tabs>
          <w:tab w:val="num" w:pos="5040"/>
        </w:tabs>
        <w:ind w:left="5040" w:hanging="360"/>
      </w:pPr>
      <w:rPr>
        <w:rFonts w:ascii="Arial" w:hAnsi="Arial" w:hint="default"/>
      </w:rPr>
    </w:lvl>
    <w:lvl w:ilvl="7" w:tplc="708E6F3A" w:tentative="1">
      <w:start w:val="1"/>
      <w:numFmt w:val="bullet"/>
      <w:lvlText w:val="•"/>
      <w:lvlJc w:val="left"/>
      <w:pPr>
        <w:tabs>
          <w:tab w:val="num" w:pos="5760"/>
        </w:tabs>
        <w:ind w:left="5760" w:hanging="360"/>
      </w:pPr>
      <w:rPr>
        <w:rFonts w:ascii="Arial" w:hAnsi="Arial" w:hint="default"/>
      </w:rPr>
    </w:lvl>
    <w:lvl w:ilvl="8" w:tplc="70B8D0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D93624"/>
    <w:multiLevelType w:val="hybridMultilevel"/>
    <w:tmpl w:val="91CCCC4E"/>
    <w:lvl w:ilvl="0" w:tplc="100C0019">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15:restartNumberingAfterBreak="0">
    <w:nsid w:val="3EF90D10"/>
    <w:multiLevelType w:val="hybridMultilevel"/>
    <w:tmpl w:val="A512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C2AAA"/>
    <w:multiLevelType w:val="hybridMultilevel"/>
    <w:tmpl w:val="A1CEFB54"/>
    <w:lvl w:ilvl="0" w:tplc="100C000F">
      <w:start w:val="2"/>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70680F5A"/>
    <w:multiLevelType w:val="hybridMultilevel"/>
    <w:tmpl w:val="21F4F9CA"/>
    <w:lvl w:ilvl="0" w:tplc="4B5A18C8">
      <w:start w:val="1"/>
      <w:numFmt w:val="bullet"/>
      <w:lvlText w:val=""/>
      <w:lvlJc w:val="left"/>
      <w:pPr>
        <w:tabs>
          <w:tab w:val="num" w:pos="720"/>
        </w:tabs>
        <w:ind w:left="720" w:hanging="360"/>
      </w:pPr>
      <w:rPr>
        <w:rFonts w:ascii="Symbol" w:hAnsi="Symbol" w:hint="default"/>
      </w:rPr>
    </w:lvl>
    <w:lvl w:ilvl="1" w:tplc="F4EA6424">
      <w:start w:val="40"/>
      <w:numFmt w:val="bullet"/>
      <w:lvlText w:val="–"/>
      <w:lvlJc w:val="left"/>
      <w:pPr>
        <w:tabs>
          <w:tab w:val="num" w:pos="1440"/>
        </w:tabs>
        <w:ind w:left="1440" w:hanging="360"/>
      </w:pPr>
      <w:rPr>
        <w:rFonts w:ascii="Times New Roman" w:hAnsi="Times New Roman" w:hint="default"/>
      </w:rPr>
    </w:lvl>
    <w:lvl w:ilvl="2" w:tplc="3CCA6DAC" w:tentative="1">
      <w:start w:val="1"/>
      <w:numFmt w:val="bullet"/>
      <w:lvlText w:val=""/>
      <w:lvlJc w:val="left"/>
      <w:pPr>
        <w:tabs>
          <w:tab w:val="num" w:pos="2160"/>
        </w:tabs>
        <w:ind w:left="2160" w:hanging="360"/>
      </w:pPr>
      <w:rPr>
        <w:rFonts w:ascii="Symbol" w:hAnsi="Symbol" w:hint="default"/>
      </w:rPr>
    </w:lvl>
    <w:lvl w:ilvl="3" w:tplc="DFB6D7D6" w:tentative="1">
      <w:start w:val="1"/>
      <w:numFmt w:val="bullet"/>
      <w:lvlText w:val=""/>
      <w:lvlJc w:val="left"/>
      <w:pPr>
        <w:tabs>
          <w:tab w:val="num" w:pos="2880"/>
        </w:tabs>
        <w:ind w:left="2880" w:hanging="360"/>
      </w:pPr>
      <w:rPr>
        <w:rFonts w:ascii="Symbol" w:hAnsi="Symbol" w:hint="default"/>
      </w:rPr>
    </w:lvl>
    <w:lvl w:ilvl="4" w:tplc="CC6246B2" w:tentative="1">
      <w:start w:val="1"/>
      <w:numFmt w:val="bullet"/>
      <w:lvlText w:val=""/>
      <w:lvlJc w:val="left"/>
      <w:pPr>
        <w:tabs>
          <w:tab w:val="num" w:pos="3600"/>
        </w:tabs>
        <w:ind w:left="3600" w:hanging="360"/>
      </w:pPr>
      <w:rPr>
        <w:rFonts w:ascii="Symbol" w:hAnsi="Symbol" w:hint="default"/>
      </w:rPr>
    </w:lvl>
    <w:lvl w:ilvl="5" w:tplc="A468D064" w:tentative="1">
      <w:start w:val="1"/>
      <w:numFmt w:val="bullet"/>
      <w:lvlText w:val=""/>
      <w:lvlJc w:val="left"/>
      <w:pPr>
        <w:tabs>
          <w:tab w:val="num" w:pos="4320"/>
        </w:tabs>
        <w:ind w:left="4320" w:hanging="360"/>
      </w:pPr>
      <w:rPr>
        <w:rFonts w:ascii="Symbol" w:hAnsi="Symbol" w:hint="default"/>
      </w:rPr>
    </w:lvl>
    <w:lvl w:ilvl="6" w:tplc="1E920EE8" w:tentative="1">
      <w:start w:val="1"/>
      <w:numFmt w:val="bullet"/>
      <w:lvlText w:val=""/>
      <w:lvlJc w:val="left"/>
      <w:pPr>
        <w:tabs>
          <w:tab w:val="num" w:pos="5040"/>
        </w:tabs>
        <w:ind w:left="5040" w:hanging="360"/>
      </w:pPr>
      <w:rPr>
        <w:rFonts w:ascii="Symbol" w:hAnsi="Symbol" w:hint="default"/>
      </w:rPr>
    </w:lvl>
    <w:lvl w:ilvl="7" w:tplc="1FAECDEC" w:tentative="1">
      <w:start w:val="1"/>
      <w:numFmt w:val="bullet"/>
      <w:lvlText w:val=""/>
      <w:lvlJc w:val="left"/>
      <w:pPr>
        <w:tabs>
          <w:tab w:val="num" w:pos="5760"/>
        </w:tabs>
        <w:ind w:left="5760" w:hanging="360"/>
      </w:pPr>
      <w:rPr>
        <w:rFonts w:ascii="Symbol" w:hAnsi="Symbol" w:hint="default"/>
      </w:rPr>
    </w:lvl>
    <w:lvl w:ilvl="8" w:tplc="94168C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647FE6"/>
    <w:multiLevelType w:val="hybridMultilevel"/>
    <w:tmpl w:val="46F23B06"/>
    <w:lvl w:ilvl="0" w:tplc="E9561E5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7FE42BE2"/>
    <w:multiLevelType w:val="hybridMultilevel"/>
    <w:tmpl w:val="9714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0"/>
  </w:num>
  <w:num w:numId="6">
    <w:abstractNumId w:val="7"/>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91"/>
    <w:rsid w:val="00024E38"/>
    <w:rsid w:val="000843D9"/>
    <w:rsid w:val="000A0EF4"/>
    <w:rsid w:val="000B3BAE"/>
    <w:rsid w:val="000E4049"/>
    <w:rsid w:val="000E4E89"/>
    <w:rsid w:val="000F5EDC"/>
    <w:rsid w:val="00134946"/>
    <w:rsid w:val="0015644C"/>
    <w:rsid w:val="00162267"/>
    <w:rsid w:val="001A2FCF"/>
    <w:rsid w:val="001E53FE"/>
    <w:rsid w:val="00214FCF"/>
    <w:rsid w:val="00225C0E"/>
    <w:rsid w:val="00227C7F"/>
    <w:rsid w:val="00253A32"/>
    <w:rsid w:val="003035CA"/>
    <w:rsid w:val="0034175E"/>
    <w:rsid w:val="00381519"/>
    <w:rsid w:val="003B5434"/>
    <w:rsid w:val="00436CC4"/>
    <w:rsid w:val="00447893"/>
    <w:rsid w:val="004878DD"/>
    <w:rsid w:val="004B3813"/>
    <w:rsid w:val="004D0A12"/>
    <w:rsid w:val="00543185"/>
    <w:rsid w:val="005D1DE8"/>
    <w:rsid w:val="005F0F86"/>
    <w:rsid w:val="0060530D"/>
    <w:rsid w:val="006113C5"/>
    <w:rsid w:val="006F2608"/>
    <w:rsid w:val="00710ED9"/>
    <w:rsid w:val="00740797"/>
    <w:rsid w:val="00742065"/>
    <w:rsid w:val="007F4DF2"/>
    <w:rsid w:val="008005FB"/>
    <w:rsid w:val="008A3B31"/>
    <w:rsid w:val="00906083"/>
    <w:rsid w:val="0093592B"/>
    <w:rsid w:val="009826FF"/>
    <w:rsid w:val="009931E1"/>
    <w:rsid w:val="00993F18"/>
    <w:rsid w:val="009A3156"/>
    <w:rsid w:val="009C0CB0"/>
    <w:rsid w:val="009C7991"/>
    <w:rsid w:val="00A125DA"/>
    <w:rsid w:val="00A464F5"/>
    <w:rsid w:val="00A53C2D"/>
    <w:rsid w:val="00AD291C"/>
    <w:rsid w:val="00AE1392"/>
    <w:rsid w:val="00B30DBF"/>
    <w:rsid w:val="00B31974"/>
    <w:rsid w:val="00BA1095"/>
    <w:rsid w:val="00BD666E"/>
    <w:rsid w:val="00C976EC"/>
    <w:rsid w:val="00CC6B50"/>
    <w:rsid w:val="00CE0692"/>
    <w:rsid w:val="00D62A5D"/>
    <w:rsid w:val="00D959E2"/>
    <w:rsid w:val="00E7469E"/>
    <w:rsid w:val="00E92671"/>
    <w:rsid w:val="00F01475"/>
    <w:rsid w:val="00F0437B"/>
    <w:rsid w:val="00F91AC7"/>
    <w:rsid w:val="00FB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5D6D"/>
  <w15:docId w15:val="{A7D6FE6C-DA09-4F82-9CAB-C8FC5214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4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3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2267"/>
    <w:pPr>
      <w:ind w:left="720"/>
      <w:contextualSpacing/>
    </w:pPr>
  </w:style>
  <w:style w:type="paragraph" w:styleId="Header">
    <w:name w:val="header"/>
    <w:basedOn w:val="Normal"/>
    <w:link w:val="HeaderChar"/>
    <w:uiPriority w:val="99"/>
    <w:unhideWhenUsed/>
    <w:rsid w:val="00543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185"/>
  </w:style>
  <w:style w:type="paragraph" w:styleId="Footer">
    <w:name w:val="footer"/>
    <w:basedOn w:val="Normal"/>
    <w:link w:val="FooterChar"/>
    <w:uiPriority w:val="99"/>
    <w:unhideWhenUsed/>
    <w:rsid w:val="00543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185"/>
  </w:style>
  <w:style w:type="character" w:styleId="CommentReference">
    <w:name w:val="annotation reference"/>
    <w:basedOn w:val="DefaultParagraphFont"/>
    <w:uiPriority w:val="99"/>
    <w:semiHidden/>
    <w:unhideWhenUsed/>
    <w:rsid w:val="00024E38"/>
    <w:rPr>
      <w:sz w:val="16"/>
      <w:szCs w:val="16"/>
    </w:rPr>
  </w:style>
  <w:style w:type="paragraph" w:styleId="CommentText">
    <w:name w:val="annotation text"/>
    <w:basedOn w:val="Normal"/>
    <w:link w:val="CommentTextChar"/>
    <w:uiPriority w:val="99"/>
    <w:semiHidden/>
    <w:unhideWhenUsed/>
    <w:rsid w:val="00024E38"/>
    <w:pPr>
      <w:spacing w:line="240" w:lineRule="auto"/>
    </w:pPr>
    <w:rPr>
      <w:sz w:val="20"/>
      <w:szCs w:val="20"/>
    </w:rPr>
  </w:style>
  <w:style w:type="character" w:customStyle="1" w:styleId="CommentTextChar">
    <w:name w:val="Comment Text Char"/>
    <w:basedOn w:val="DefaultParagraphFont"/>
    <w:link w:val="CommentText"/>
    <w:uiPriority w:val="99"/>
    <w:semiHidden/>
    <w:rsid w:val="00024E38"/>
    <w:rPr>
      <w:sz w:val="20"/>
      <w:szCs w:val="20"/>
    </w:rPr>
  </w:style>
  <w:style w:type="paragraph" w:styleId="CommentSubject">
    <w:name w:val="annotation subject"/>
    <w:basedOn w:val="CommentText"/>
    <w:next w:val="CommentText"/>
    <w:link w:val="CommentSubjectChar"/>
    <w:uiPriority w:val="99"/>
    <w:semiHidden/>
    <w:unhideWhenUsed/>
    <w:rsid w:val="00024E38"/>
    <w:rPr>
      <w:b/>
      <w:bCs/>
    </w:rPr>
  </w:style>
  <w:style w:type="character" w:customStyle="1" w:styleId="CommentSubjectChar">
    <w:name w:val="Comment Subject Char"/>
    <w:basedOn w:val="CommentTextChar"/>
    <w:link w:val="CommentSubject"/>
    <w:uiPriority w:val="99"/>
    <w:semiHidden/>
    <w:rsid w:val="00024E38"/>
    <w:rPr>
      <w:b/>
      <w:bCs/>
      <w:sz w:val="20"/>
      <w:szCs w:val="20"/>
    </w:rPr>
  </w:style>
  <w:style w:type="paragraph" w:styleId="BalloonText">
    <w:name w:val="Balloon Text"/>
    <w:basedOn w:val="Normal"/>
    <w:link w:val="BalloonTextChar"/>
    <w:uiPriority w:val="99"/>
    <w:semiHidden/>
    <w:unhideWhenUsed/>
    <w:rsid w:val="00024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E38"/>
    <w:rPr>
      <w:rFonts w:ascii="Segoe UI" w:hAnsi="Segoe UI" w:cs="Segoe UI"/>
      <w:sz w:val="18"/>
      <w:szCs w:val="18"/>
    </w:rPr>
  </w:style>
  <w:style w:type="paragraph" w:styleId="EndnoteText">
    <w:name w:val="endnote text"/>
    <w:basedOn w:val="Normal"/>
    <w:link w:val="EndnoteTextChar"/>
    <w:uiPriority w:val="99"/>
    <w:semiHidden/>
    <w:unhideWhenUsed/>
    <w:rsid w:val="001E53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3FE"/>
    <w:rPr>
      <w:sz w:val="20"/>
      <w:szCs w:val="20"/>
    </w:rPr>
  </w:style>
  <w:style w:type="character" w:styleId="EndnoteReference">
    <w:name w:val="endnote reference"/>
    <w:basedOn w:val="DefaultParagraphFont"/>
    <w:uiPriority w:val="99"/>
    <w:semiHidden/>
    <w:unhideWhenUsed/>
    <w:rsid w:val="001E53FE"/>
    <w:rPr>
      <w:vertAlign w:val="superscript"/>
    </w:rPr>
  </w:style>
  <w:style w:type="character" w:styleId="Hyperlink">
    <w:name w:val="Hyperlink"/>
    <w:basedOn w:val="DefaultParagraphFont"/>
    <w:uiPriority w:val="99"/>
    <w:unhideWhenUsed/>
    <w:rsid w:val="009C0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0127">
      <w:bodyDiv w:val="1"/>
      <w:marLeft w:val="0"/>
      <w:marRight w:val="0"/>
      <w:marTop w:val="0"/>
      <w:marBottom w:val="0"/>
      <w:divBdr>
        <w:top w:val="none" w:sz="0" w:space="0" w:color="auto"/>
        <w:left w:val="none" w:sz="0" w:space="0" w:color="auto"/>
        <w:bottom w:val="none" w:sz="0" w:space="0" w:color="auto"/>
        <w:right w:val="none" w:sz="0" w:space="0" w:color="auto"/>
      </w:divBdr>
      <w:divsChild>
        <w:div w:id="1158154178">
          <w:marLeft w:val="317"/>
          <w:marRight w:val="0"/>
          <w:marTop w:val="72"/>
          <w:marBottom w:val="0"/>
          <w:divBdr>
            <w:top w:val="none" w:sz="0" w:space="0" w:color="auto"/>
            <w:left w:val="none" w:sz="0" w:space="0" w:color="auto"/>
            <w:bottom w:val="none" w:sz="0" w:space="0" w:color="auto"/>
            <w:right w:val="none" w:sz="0" w:space="0" w:color="auto"/>
          </w:divBdr>
        </w:div>
        <w:div w:id="2146585540">
          <w:marLeft w:val="662"/>
          <w:marRight w:val="0"/>
          <w:marTop w:val="62"/>
          <w:marBottom w:val="0"/>
          <w:divBdr>
            <w:top w:val="none" w:sz="0" w:space="0" w:color="auto"/>
            <w:left w:val="none" w:sz="0" w:space="0" w:color="auto"/>
            <w:bottom w:val="none" w:sz="0" w:space="0" w:color="auto"/>
            <w:right w:val="none" w:sz="0" w:space="0" w:color="auto"/>
          </w:divBdr>
        </w:div>
        <w:div w:id="28535687">
          <w:marLeft w:val="662"/>
          <w:marRight w:val="0"/>
          <w:marTop w:val="67"/>
          <w:marBottom w:val="0"/>
          <w:divBdr>
            <w:top w:val="none" w:sz="0" w:space="0" w:color="auto"/>
            <w:left w:val="none" w:sz="0" w:space="0" w:color="auto"/>
            <w:bottom w:val="none" w:sz="0" w:space="0" w:color="auto"/>
            <w:right w:val="none" w:sz="0" w:space="0" w:color="auto"/>
          </w:divBdr>
        </w:div>
        <w:div w:id="1498350016">
          <w:marLeft w:val="662"/>
          <w:marRight w:val="0"/>
          <w:marTop w:val="67"/>
          <w:marBottom w:val="0"/>
          <w:divBdr>
            <w:top w:val="none" w:sz="0" w:space="0" w:color="auto"/>
            <w:left w:val="none" w:sz="0" w:space="0" w:color="auto"/>
            <w:bottom w:val="none" w:sz="0" w:space="0" w:color="auto"/>
            <w:right w:val="none" w:sz="0" w:space="0" w:color="auto"/>
          </w:divBdr>
        </w:div>
        <w:div w:id="882791204">
          <w:marLeft w:val="317"/>
          <w:marRight w:val="0"/>
          <w:marTop w:val="67"/>
          <w:marBottom w:val="0"/>
          <w:divBdr>
            <w:top w:val="none" w:sz="0" w:space="0" w:color="auto"/>
            <w:left w:val="none" w:sz="0" w:space="0" w:color="auto"/>
            <w:bottom w:val="none" w:sz="0" w:space="0" w:color="auto"/>
            <w:right w:val="none" w:sz="0" w:space="0" w:color="auto"/>
          </w:divBdr>
        </w:div>
      </w:divsChild>
    </w:div>
    <w:div w:id="1308978574">
      <w:bodyDiv w:val="1"/>
      <w:marLeft w:val="0"/>
      <w:marRight w:val="0"/>
      <w:marTop w:val="0"/>
      <w:marBottom w:val="0"/>
      <w:divBdr>
        <w:top w:val="none" w:sz="0" w:space="0" w:color="auto"/>
        <w:left w:val="none" w:sz="0" w:space="0" w:color="auto"/>
        <w:bottom w:val="none" w:sz="0" w:space="0" w:color="auto"/>
        <w:right w:val="none" w:sz="0" w:space="0" w:color="auto"/>
      </w:divBdr>
      <w:divsChild>
        <w:div w:id="159076939">
          <w:marLeft w:val="446"/>
          <w:marRight w:val="0"/>
          <w:marTop w:val="0"/>
          <w:marBottom w:val="0"/>
          <w:divBdr>
            <w:top w:val="none" w:sz="0" w:space="0" w:color="auto"/>
            <w:left w:val="none" w:sz="0" w:space="0" w:color="auto"/>
            <w:bottom w:val="none" w:sz="0" w:space="0" w:color="auto"/>
            <w:right w:val="none" w:sz="0" w:space="0" w:color="auto"/>
          </w:divBdr>
        </w:div>
        <w:div w:id="481317709">
          <w:marLeft w:val="446"/>
          <w:marRight w:val="0"/>
          <w:marTop w:val="0"/>
          <w:marBottom w:val="0"/>
          <w:divBdr>
            <w:top w:val="none" w:sz="0" w:space="0" w:color="auto"/>
            <w:left w:val="none" w:sz="0" w:space="0" w:color="auto"/>
            <w:bottom w:val="none" w:sz="0" w:space="0" w:color="auto"/>
            <w:right w:val="none" w:sz="0" w:space="0" w:color="auto"/>
          </w:divBdr>
        </w:div>
      </w:divsChild>
    </w:div>
    <w:div w:id="1848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c.lu/-/media/cl-luxembourg/private-banking/pad-standard-letter-of-authorisation-final-eng.doc?la=en-G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146D-034D-459E-ACE9-CF322F54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4892</Characters>
  <Application>Microsoft Office Word</Application>
  <DocSecurity>0</DocSecurity>
  <Lines>90</Lines>
  <Paragraphs>41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CLEMENT-Other-44054596</dc:creator>
  <cp:keywords>PUBLIC</cp:keywords>
  <dc:description>PUBLIC</dc:description>
  <cp:lastModifiedBy>chathura.wijekuruppu@hsbc.co.in</cp:lastModifiedBy>
  <cp:revision>7</cp:revision>
  <dcterms:created xsi:type="dcterms:W3CDTF">2017-12-29T09:15:00Z</dcterms:created>
  <dcterms:modified xsi:type="dcterms:W3CDTF">2018-01-09T15:00:00Z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